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94E" w:rsidRPr="005869F2" w:rsidRDefault="006E20D9" w:rsidP="00D8794E">
      <w:pPr>
        <w:rPr>
          <w:b/>
        </w:rPr>
      </w:pPr>
      <w:r>
        <w:rPr>
          <w:b/>
        </w:rPr>
        <w:t>Aurélie SCHNELL</w:t>
      </w:r>
    </w:p>
    <w:p w:rsidR="00D8794E" w:rsidRDefault="006E20D9" w:rsidP="00D8794E">
      <w:pPr>
        <w:spacing w:before="0" w:beforeAutospacing="0" w:after="0" w:afterAutospacing="0"/>
        <w:jc w:val="both"/>
        <w:rPr>
          <w:sz w:val="16"/>
        </w:rPr>
      </w:pPr>
      <w:r>
        <w:rPr>
          <w:sz w:val="16"/>
        </w:rPr>
        <w:t>Aurélie SCHNELL</w:t>
      </w:r>
      <w:r w:rsidR="00D8794E" w:rsidRPr="0014054E">
        <w:rPr>
          <w:sz w:val="16"/>
        </w:rPr>
        <w:t xml:space="preserve">, expert-comptable au sein </w:t>
      </w:r>
      <w:r w:rsidR="005C66F3">
        <w:rPr>
          <w:sz w:val="16"/>
        </w:rPr>
        <w:t>de</w:t>
      </w:r>
      <w:r w:rsidR="005179E1">
        <w:rPr>
          <w:sz w:val="16"/>
        </w:rPr>
        <w:t xml:space="preserve"> XXXXXXXXXX</w:t>
      </w:r>
      <w:r w:rsidR="00D8794E" w:rsidRPr="0014054E">
        <w:rPr>
          <w:sz w:val="16"/>
        </w:rPr>
        <w:t xml:space="preserve"> pratique les activités d’expertise comptable, de commissariat aux comptes et de conseil, sur des structures du secteur local et régional.</w:t>
      </w:r>
    </w:p>
    <w:p w:rsidR="00D8794E" w:rsidRDefault="00D8794E" w:rsidP="00D8794E">
      <w:pPr>
        <w:spacing w:before="0" w:beforeAutospacing="0" w:after="0" w:afterAutospacing="0"/>
        <w:jc w:val="both"/>
        <w:rPr>
          <w:sz w:val="16"/>
        </w:rPr>
      </w:pPr>
    </w:p>
    <w:p w:rsidR="00D8794E" w:rsidRPr="0014054E" w:rsidRDefault="00D8794E" w:rsidP="00D8794E">
      <w:pPr>
        <w:pStyle w:val="Paragraphedeliste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  <w:sz w:val="16"/>
        </w:rPr>
      </w:pPr>
      <w:r w:rsidRPr="0014054E">
        <w:rPr>
          <w:b/>
          <w:bCs/>
          <w:sz w:val="16"/>
        </w:rPr>
        <w:t>Secteurs d’intervention</w:t>
      </w:r>
    </w:p>
    <w:p w:rsidR="00D8794E" w:rsidRPr="0061050A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61050A">
        <w:rPr>
          <w:bCs/>
          <w:sz w:val="16"/>
        </w:rPr>
        <w:t>Associations</w:t>
      </w:r>
    </w:p>
    <w:p w:rsidR="00D8794E" w:rsidRPr="0061050A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61050A">
        <w:rPr>
          <w:bCs/>
          <w:sz w:val="16"/>
        </w:rPr>
        <w:t>TPE</w:t>
      </w:r>
    </w:p>
    <w:p w:rsidR="00D8794E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61050A">
        <w:rPr>
          <w:bCs/>
          <w:sz w:val="16"/>
        </w:rPr>
        <w:t>Entreprises de Commerce de gros</w:t>
      </w:r>
    </w:p>
    <w:p w:rsidR="00D8794E" w:rsidRPr="0061050A" w:rsidRDefault="00D8794E" w:rsidP="00D8794E">
      <w:pPr>
        <w:pStyle w:val="Paragraphedeliste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  <w:sz w:val="16"/>
        </w:rPr>
      </w:pPr>
      <w:r w:rsidRPr="0061050A">
        <w:rPr>
          <w:b/>
          <w:bCs/>
          <w:sz w:val="16"/>
        </w:rPr>
        <w:t>Ligne de services</w:t>
      </w:r>
    </w:p>
    <w:p w:rsidR="00D8794E" w:rsidRPr="0061050A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61050A">
        <w:rPr>
          <w:bCs/>
          <w:sz w:val="16"/>
        </w:rPr>
        <w:t xml:space="preserve">Intervention au sein d’associations </w:t>
      </w:r>
    </w:p>
    <w:p w:rsidR="00D8794E" w:rsidRPr="0061050A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61050A">
        <w:rPr>
          <w:bCs/>
          <w:sz w:val="16"/>
        </w:rPr>
        <w:t>Création d’entreprises</w:t>
      </w:r>
    </w:p>
    <w:p w:rsidR="00D8794E" w:rsidRPr="0061050A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61050A">
        <w:rPr>
          <w:bCs/>
          <w:sz w:val="16"/>
        </w:rPr>
        <w:t>Externalisation de la  comptabilité et de la gestion</w:t>
      </w:r>
    </w:p>
    <w:p w:rsidR="00D8794E" w:rsidRPr="0061050A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61050A">
        <w:rPr>
          <w:bCs/>
          <w:sz w:val="16"/>
        </w:rPr>
        <w:t>Intervention en matière de CIR et JEI</w:t>
      </w:r>
    </w:p>
    <w:p w:rsidR="00D8794E" w:rsidRPr="00537563" w:rsidRDefault="00D8794E" w:rsidP="00D8794E">
      <w:pPr>
        <w:pStyle w:val="Paragraphedeliste"/>
        <w:numPr>
          <w:ilvl w:val="0"/>
          <w:numId w:val="3"/>
        </w:numPr>
        <w:spacing w:after="0" w:afterAutospacing="0"/>
        <w:jc w:val="both"/>
        <w:rPr>
          <w:b/>
          <w:bCs/>
          <w:sz w:val="16"/>
        </w:rPr>
      </w:pPr>
      <w:r w:rsidRPr="00537563">
        <w:rPr>
          <w:b/>
          <w:bCs/>
          <w:sz w:val="16"/>
        </w:rPr>
        <w:t xml:space="preserve">Formation </w:t>
      </w:r>
    </w:p>
    <w:p w:rsidR="00D8794E" w:rsidRDefault="00D8794E" w:rsidP="00D8794E">
      <w:pPr>
        <w:numPr>
          <w:ilvl w:val="0"/>
          <w:numId w:val="4"/>
        </w:numPr>
        <w:spacing w:before="0" w:beforeAutospacing="0"/>
        <w:rPr>
          <w:bCs/>
          <w:sz w:val="16"/>
        </w:rPr>
      </w:pPr>
      <w:r w:rsidRPr="00537563">
        <w:rPr>
          <w:bCs/>
          <w:sz w:val="16"/>
        </w:rPr>
        <w:t>Diplôme d’Expertise Comptable</w:t>
      </w:r>
    </w:p>
    <w:p w:rsidR="00D8794E" w:rsidRPr="00C04492" w:rsidRDefault="00D8794E" w:rsidP="00D8794E">
      <w:pPr>
        <w:numPr>
          <w:ilvl w:val="0"/>
          <w:numId w:val="4"/>
        </w:numPr>
        <w:spacing w:before="0" w:beforeAutospacing="0"/>
        <w:rPr>
          <w:bCs/>
          <w:sz w:val="16"/>
        </w:rPr>
      </w:pPr>
      <w:r>
        <w:rPr>
          <w:bCs/>
          <w:sz w:val="16"/>
        </w:rPr>
        <w:t>DESS Comptabilité-Audit-Finance</w:t>
      </w:r>
    </w:p>
    <w:p w:rsidR="00D8794E" w:rsidRPr="00E75E26" w:rsidRDefault="00D8794E" w:rsidP="00D8794E">
      <w:pPr>
        <w:pStyle w:val="Paragraphedeliste"/>
        <w:numPr>
          <w:ilvl w:val="0"/>
          <w:numId w:val="3"/>
        </w:numPr>
        <w:spacing w:after="0" w:afterAutospacing="0"/>
        <w:jc w:val="both"/>
        <w:rPr>
          <w:b/>
          <w:bCs/>
          <w:sz w:val="16"/>
        </w:rPr>
      </w:pPr>
      <w:r w:rsidRPr="00E75E26">
        <w:rPr>
          <w:b/>
          <w:bCs/>
          <w:sz w:val="16"/>
        </w:rPr>
        <w:t>Autres fonctions</w:t>
      </w:r>
    </w:p>
    <w:p w:rsidR="00D8794E" w:rsidRPr="00C04492" w:rsidRDefault="00D8794E" w:rsidP="00D8794E">
      <w:pPr>
        <w:numPr>
          <w:ilvl w:val="0"/>
          <w:numId w:val="4"/>
        </w:numPr>
        <w:spacing w:before="0" w:beforeAutospacing="0"/>
        <w:rPr>
          <w:bCs/>
          <w:sz w:val="16"/>
        </w:rPr>
      </w:pPr>
      <w:r w:rsidRPr="00E75E26">
        <w:rPr>
          <w:bCs/>
          <w:sz w:val="16"/>
        </w:rPr>
        <w:t xml:space="preserve">  </w:t>
      </w:r>
      <w:r w:rsidR="005C66F3">
        <w:rPr>
          <w:bCs/>
          <w:sz w:val="16"/>
        </w:rPr>
        <w:t>XXXXXXXXXXXXXXXXXXXXXXXXXX</w:t>
      </w:r>
    </w:p>
    <w:p w:rsidR="00D8794E" w:rsidRPr="00537563" w:rsidRDefault="00D8794E" w:rsidP="00D8794E">
      <w:pPr>
        <w:numPr>
          <w:ilvl w:val="0"/>
          <w:numId w:val="1"/>
        </w:numPr>
        <w:spacing w:after="0" w:afterAutospacing="0"/>
        <w:jc w:val="both"/>
        <w:rPr>
          <w:b/>
          <w:bCs/>
          <w:sz w:val="16"/>
        </w:rPr>
      </w:pPr>
      <w:r w:rsidRPr="00537563">
        <w:rPr>
          <w:b/>
          <w:bCs/>
          <w:sz w:val="16"/>
        </w:rPr>
        <w:t>Domaines de compétences </w:t>
      </w:r>
    </w:p>
    <w:p w:rsidR="00D8794E" w:rsidRDefault="00D8794E" w:rsidP="00D8794E">
      <w:pPr>
        <w:spacing w:before="0" w:beforeAutospacing="0" w:after="0" w:afterAutospacing="0"/>
        <w:ind w:left="284" w:hanging="284"/>
        <w:jc w:val="both"/>
        <w:rPr>
          <w:b/>
          <w:bCs/>
          <w:iCs/>
          <w:color w:val="0070C0"/>
          <w:sz w:val="16"/>
        </w:rPr>
      </w:pPr>
    </w:p>
    <w:p w:rsidR="00D8794E" w:rsidRPr="00537563" w:rsidRDefault="00D8794E" w:rsidP="00D8794E">
      <w:pPr>
        <w:spacing w:before="0" w:beforeAutospacing="0" w:after="0" w:afterAutospacing="0"/>
        <w:ind w:left="284" w:hanging="284"/>
        <w:jc w:val="both"/>
        <w:rPr>
          <w:b/>
          <w:bCs/>
          <w:iCs/>
          <w:color w:val="0070C0"/>
          <w:sz w:val="16"/>
        </w:rPr>
      </w:pPr>
      <w:r w:rsidRPr="00537563">
        <w:rPr>
          <w:b/>
          <w:bCs/>
          <w:iCs/>
          <w:color w:val="0070C0"/>
          <w:sz w:val="16"/>
        </w:rPr>
        <w:t xml:space="preserve">Expertise Comptable </w:t>
      </w:r>
    </w:p>
    <w:p w:rsidR="00D8794E" w:rsidRPr="0061050A" w:rsidRDefault="00D8794E" w:rsidP="00D8794E">
      <w:pPr>
        <w:spacing w:before="0" w:beforeAutospacing="0" w:after="0" w:afterAutospacing="0"/>
        <w:ind w:left="720"/>
        <w:jc w:val="both"/>
        <w:rPr>
          <w:sz w:val="16"/>
        </w:rPr>
      </w:pPr>
      <w:r w:rsidRPr="0061050A">
        <w:rPr>
          <w:sz w:val="16"/>
        </w:rPr>
        <w:t>Assistance auprès de 100 clients environ dans tous corps de métiers (Révision / Délégation et Supervision)</w:t>
      </w:r>
    </w:p>
    <w:p w:rsidR="00D8794E" w:rsidRDefault="00D8794E" w:rsidP="00D8794E">
      <w:pPr>
        <w:spacing w:before="0" w:beforeAutospacing="0" w:after="0" w:afterAutospacing="0"/>
        <w:ind w:left="720"/>
        <w:jc w:val="both"/>
        <w:rPr>
          <w:sz w:val="16"/>
        </w:rPr>
      </w:pPr>
    </w:p>
    <w:p w:rsidR="00D8794E" w:rsidRPr="0061050A" w:rsidRDefault="00D8794E" w:rsidP="00D8794E">
      <w:pPr>
        <w:spacing w:before="0" w:beforeAutospacing="0" w:after="0" w:afterAutospacing="0"/>
        <w:ind w:left="720"/>
        <w:jc w:val="both"/>
        <w:rPr>
          <w:sz w:val="16"/>
        </w:rPr>
      </w:pPr>
      <w:r w:rsidRPr="0061050A">
        <w:rPr>
          <w:sz w:val="16"/>
        </w:rPr>
        <w:t>Assistance en création d’entreprise</w:t>
      </w:r>
    </w:p>
    <w:p w:rsidR="00D8794E" w:rsidRDefault="00D8794E" w:rsidP="00D8794E">
      <w:pPr>
        <w:spacing w:before="0" w:beforeAutospacing="0" w:after="0" w:afterAutospacing="0"/>
        <w:ind w:left="720"/>
        <w:jc w:val="both"/>
        <w:rPr>
          <w:sz w:val="16"/>
        </w:rPr>
      </w:pPr>
    </w:p>
    <w:p w:rsidR="00D8794E" w:rsidRPr="0061050A" w:rsidRDefault="00D8794E" w:rsidP="00D8794E">
      <w:pPr>
        <w:spacing w:before="0" w:beforeAutospacing="0"/>
        <w:ind w:left="720"/>
        <w:jc w:val="both"/>
        <w:rPr>
          <w:sz w:val="16"/>
        </w:rPr>
      </w:pPr>
      <w:r w:rsidRPr="0061050A">
        <w:rPr>
          <w:sz w:val="16"/>
        </w:rPr>
        <w:t xml:space="preserve">Spécialisation sur le secteur </w:t>
      </w:r>
      <w:r w:rsidR="005C66F3">
        <w:rPr>
          <w:sz w:val="16"/>
        </w:rPr>
        <w:t>XXXXXXXXXXXXXXXXXXXXXXXXXX</w:t>
      </w:r>
    </w:p>
    <w:p w:rsidR="006E20D9" w:rsidRDefault="00D8794E" w:rsidP="006E20D9">
      <w:pPr>
        <w:spacing w:before="0" w:beforeAutospacing="0" w:after="0" w:afterAutospacing="0"/>
        <w:ind w:left="284" w:hanging="284"/>
        <w:jc w:val="both"/>
        <w:rPr>
          <w:b/>
          <w:bCs/>
          <w:iCs/>
          <w:color w:val="0070C0"/>
          <w:sz w:val="16"/>
        </w:rPr>
      </w:pPr>
      <w:r w:rsidRPr="0061050A">
        <w:rPr>
          <w:b/>
          <w:bCs/>
          <w:iCs/>
          <w:color w:val="0070C0"/>
          <w:sz w:val="16"/>
        </w:rPr>
        <w:t>Commissariat aux comptes</w:t>
      </w:r>
    </w:p>
    <w:p w:rsidR="00BF5CB0" w:rsidRDefault="00BF5CB0" w:rsidP="006E20D9">
      <w:pPr>
        <w:spacing w:before="0" w:beforeAutospacing="0" w:after="0" w:afterAutospacing="0"/>
        <w:ind w:left="284" w:hanging="284"/>
        <w:jc w:val="both"/>
        <w:rPr>
          <w:b/>
          <w:bCs/>
          <w:iCs/>
          <w:color w:val="0070C0"/>
          <w:sz w:val="16"/>
        </w:rPr>
      </w:pPr>
    </w:p>
    <w:p w:rsidR="00BF5CB0" w:rsidRDefault="00BF5CB0" w:rsidP="006E20D9">
      <w:pPr>
        <w:spacing w:before="0" w:beforeAutospacing="0" w:after="0" w:afterAutospacing="0"/>
        <w:ind w:left="284" w:hanging="284"/>
        <w:jc w:val="both"/>
        <w:rPr>
          <w:b/>
          <w:bCs/>
          <w:iCs/>
          <w:color w:val="0070C0"/>
          <w:sz w:val="16"/>
        </w:rPr>
      </w:pPr>
    </w:p>
    <w:p w:rsidR="00BF5CB0" w:rsidRDefault="00BF5CB0" w:rsidP="006E20D9">
      <w:pPr>
        <w:spacing w:before="0" w:beforeAutospacing="0" w:after="0" w:afterAutospacing="0"/>
        <w:ind w:left="284" w:hanging="284"/>
        <w:jc w:val="both"/>
        <w:rPr>
          <w:b/>
          <w:bCs/>
          <w:iCs/>
          <w:color w:val="0070C0"/>
          <w:sz w:val="16"/>
        </w:rPr>
      </w:pPr>
    </w:p>
    <w:p w:rsidR="006E20D9" w:rsidRPr="0061050A" w:rsidRDefault="006E20D9" w:rsidP="00D8794E">
      <w:pPr>
        <w:spacing w:before="0" w:beforeAutospacing="0" w:after="0" w:afterAutospacing="0"/>
        <w:ind w:left="284" w:hanging="284"/>
        <w:jc w:val="both"/>
        <w:rPr>
          <w:b/>
          <w:bCs/>
          <w:iCs/>
          <w:color w:val="0070C0"/>
          <w:sz w:val="16"/>
        </w:rPr>
      </w:pP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MREC (RESEAU CERFRANCE) 01/2016 – A PRESENT › 5 ans</w:t>
      </w: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Audit légal &amp; Conseil</w:t>
      </w:r>
    </w:p>
    <w:p w:rsidR="006E20D9" w:rsidRPr="00BF5CB0" w:rsidRDefault="006E20D9" w:rsidP="00BF5CB0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 xml:space="preserve">&gt; Revue du contrôle </w:t>
      </w:r>
      <w:r w:rsidRPr="00BF5CB0">
        <w:rPr>
          <w:sz w:val="16"/>
          <w:highlight w:val="yellow"/>
        </w:rPr>
        <w:t xml:space="preserve">interne/ revue de procédures et </w:t>
      </w:r>
      <w:r w:rsidRPr="00BF5CB0">
        <w:rPr>
          <w:sz w:val="16"/>
          <w:highlight w:val="yellow"/>
        </w:rPr>
        <w:t>propositions d’axes d’amélior</w:t>
      </w:r>
      <w:r w:rsidR="00BF5CB0" w:rsidRPr="00BF5CB0">
        <w:rPr>
          <w:sz w:val="16"/>
          <w:highlight w:val="yellow"/>
        </w:rPr>
        <w:t xml:space="preserve">ation lors des restitutions aux </w:t>
      </w:r>
      <w:r w:rsidRPr="00BF5CB0">
        <w:rPr>
          <w:sz w:val="16"/>
          <w:highlight w:val="yellow"/>
        </w:rPr>
        <w:t>Clients sur les cycles Tré</w:t>
      </w:r>
      <w:r w:rsidRPr="00BF5CB0">
        <w:rPr>
          <w:sz w:val="16"/>
          <w:highlight w:val="yellow"/>
        </w:rPr>
        <w:t xml:space="preserve">sorerie, Fournisseurs, Clients, </w:t>
      </w:r>
      <w:r w:rsidRPr="00BF5CB0">
        <w:rPr>
          <w:sz w:val="16"/>
          <w:highlight w:val="yellow"/>
        </w:rPr>
        <w:t>Immobilisations, Social …</w:t>
      </w:r>
    </w:p>
    <w:p w:rsidR="006E20D9" w:rsidRPr="00BF5CB0" w:rsidRDefault="006E20D9" w:rsidP="00BF5CB0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&gt; Audit des états financie</w:t>
      </w:r>
      <w:r w:rsidRPr="00BF5CB0">
        <w:rPr>
          <w:sz w:val="16"/>
          <w:highlight w:val="yellow"/>
        </w:rPr>
        <w:t xml:space="preserve">rs/ Gestion de la mission de la </w:t>
      </w:r>
      <w:r w:rsidRPr="00BF5CB0">
        <w:rPr>
          <w:sz w:val="16"/>
          <w:highlight w:val="yellow"/>
        </w:rPr>
        <w:t>préparation des lettres de missions à la rédaction de</w:t>
      </w:r>
      <w:r w:rsidR="00BF5CB0" w:rsidRPr="00BF5CB0">
        <w:rPr>
          <w:sz w:val="16"/>
          <w:highlight w:val="yellow"/>
        </w:rPr>
        <w:t xml:space="preserve">s </w:t>
      </w:r>
      <w:r w:rsidRPr="00BF5CB0">
        <w:rPr>
          <w:sz w:val="16"/>
          <w:highlight w:val="yellow"/>
        </w:rPr>
        <w:t>rapports de commissaires aux comptes.</w:t>
      </w:r>
    </w:p>
    <w:p w:rsidR="006E20D9" w:rsidRPr="00BF5CB0" w:rsidRDefault="006E20D9" w:rsidP="00BF5CB0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 xml:space="preserve">&gt; Introduction en bourse </w:t>
      </w:r>
      <w:r w:rsidR="00BF5CB0" w:rsidRPr="00BF5CB0">
        <w:rPr>
          <w:sz w:val="16"/>
          <w:highlight w:val="yellow"/>
        </w:rPr>
        <w:t xml:space="preserve">: IPO (Initial Public </w:t>
      </w:r>
      <w:proofErr w:type="spellStart"/>
      <w:r w:rsidR="00BF5CB0" w:rsidRPr="00BF5CB0">
        <w:rPr>
          <w:sz w:val="16"/>
          <w:highlight w:val="yellow"/>
        </w:rPr>
        <w:t>Offering</w:t>
      </w:r>
      <w:proofErr w:type="spellEnd"/>
      <w:r w:rsidR="00BF5CB0" w:rsidRPr="00BF5CB0">
        <w:rPr>
          <w:sz w:val="16"/>
          <w:highlight w:val="yellow"/>
        </w:rPr>
        <w:t xml:space="preserve">) </w:t>
      </w:r>
      <w:r w:rsidRPr="00BF5CB0">
        <w:rPr>
          <w:sz w:val="16"/>
          <w:highlight w:val="yellow"/>
        </w:rPr>
        <w:t>Groupe, pro-forma, audit Groupe dont revue limité des</w:t>
      </w:r>
    </w:p>
    <w:p w:rsidR="006E20D9" w:rsidRPr="00BF5CB0" w:rsidRDefault="006E20D9" w:rsidP="00BF5CB0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proofErr w:type="gramStart"/>
      <w:r w:rsidRPr="00BF5CB0">
        <w:rPr>
          <w:sz w:val="16"/>
          <w:highlight w:val="yellow"/>
        </w:rPr>
        <w:t>filiales</w:t>
      </w:r>
      <w:proofErr w:type="gramEnd"/>
      <w:r w:rsidRPr="00BF5CB0">
        <w:rPr>
          <w:sz w:val="16"/>
          <w:highlight w:val="yellow"/>
        </w:rPr>
        <w:t xml:space="preserve"> de groupes internat</w:t>
      </w:r>
      <w:r w:rsidR="00BF5CB0" w:rsidRPr="00BF5CB0">
        <w:rPr>
          <w:sz w:val="16"/>
          <w:highlight w:val="yellow"/>
        </w:rPr>
        <w:t xml:space="preserve">ionaux: US, Italie, UK, Canada, </w:t>
      </w:r>
      <w:r w:rsidRPr="00BF5CB0">
        <w:rPr>
          <w:sz w:val="16"/>
          <w:highlight w:val="yellow"/>
        </w:rPr>
        <w:t>Japon, Allemagne…</w:t>
      </w: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&gt; Accompagnement de client dans le déploiement d’outils</w:t>
      </w:r>
    </w:p>
    <w:p w:rsidR="00BF5CB0" w:rsidRPr="00BF5CB0" w:rsidRDefault="00BF5CB0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CERA (FILIALE ACA NEXIA) 12/2007 – 01/2016 › 8 ans</w:t>
      </w: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Audit &amp; Conseil</w:t>
      </w: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&gt; Audit des états financiers / Audit des comptes consolidés /</w:t>
      </w:r>
    </w:p>
    <w:p w:rsidR="006E20D9" w:rsidRPr="00BF5CB0" w:rsidRDefault="006E20D9" w:rsidP="00BF5CB0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Revue des document</w:t>
      </w:r>
      <w:r w:rsidR="00BF5CB0" w:rsidRPr="00BF5CB0">
        <w:rPr>
          <w:sz w:val="16"/>
          <w:highlight w:val="yellow"/>
        </w:rPr>
        <w:t xml:space="preserve">s juridiques et fiscaux/ Revues </w:t>
      </w:r>
      <w:r w:rsidRPr="00BF5CB0">
        <w:rPr>
          <w:sz w:val="16"/>
          <w:highlight w:val="yellow"/>
        </w:rPr>
        <w:t>financières / Revue du contrôle interne</w:t>
      </w:r>
    </w:p>
    <w:p w:rsidR="006E20D9" w:rsidRPr="00BF5CB0" w:rsidRDefault="006E20D9" w:rsidP="00BF5CB0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 xml:space="preserve">&gt; CA des filiales auditées: </w:t>
      </w:r>
      <w:r w:rsidR="00BF5CB0" w:rsidRPr="00BF5CB0">
        <w:rPr>
          <w:sz w:val="16"/>
          <w:highlight w:val="yellow"/>
        </w:rPr>
        <w:t xml:space="preserve">20 à 200 M€ / CA Groupe: de 1 à </w:t>
      </w:r>
      <w:r w:rsidRPr="00BF5CB0">
        <w:rPr>
          <w:sz w:val="16"/>
          <w:highlight w:val="yellow"/>
        </w:rPr>
        <w:t>500 millions d’euros.</w:t>
      </w: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&gt; Secteurs : groupes d</w:t>
      </w:r>
      <w:r w:rsidRPr="00BF5CB0">
        <w:rPr>
          <w:sz w:val="16"/>
          <w:highlight w:val="yellow"/>
        </w:rPr>
        <w:t xml:space="preserve">e laboratoires pharmaceutiques, </w:t>
      </w:r>
      <w:r w:rsidRPr="00BF5CB0">
        <w:rPr>
          <w:sz w:val="16"/>
          <w:highlight w:val="yellow"/>
        </w:rPr>
        <w:t>groupes d’imprimeries et groupes d’hôtellerie</w:t>
      </w: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&gt; Production de livrables, s</w:t>
      </w:r>
      <w:r w:rsidRPr="00BF5CB0">
        <w:rPr>
          <w:sz w:val="16"/>
          <w:highlight w:val="yellow"/>
        </w:rPr>
        <w:t xml:space="preserve">upports de synthèse et rapports </w:t>
      </w:r>
      <w:r w:rsidRPr="00BF5CB0">
        <w:rPr>
          <w:sz w:val="16"/>
          <w:highlight w:val="yellow"/>
        </w:rPr>
        <w:t>d'audit</w:t>
      </w:r>
    </w:p>
    <w:p w:rsidR="00BF5CB0" w:rsidRPr="00BF5CB0" w:rsidRDefault="00BF5CB0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POSOKHOW › 03/</w:t>
      </w:r>
      <w:r w:rsidRPr="00BF5CB0">
        <w:rPr>
          <w:sz w:val="16"/>
          <w:highlight w:val="yellow"/>
        </w:rPr>
        <w:t>2006 – 09/2006 › Stage</w:t>
      </w:r>
    </w:p>
    <w:p w:rsidR="006E20D9" w:rsidRPr="00BF5CB0" w:rsidRDefault="006E20D9" w:rsidP="006E20D9">
      <w:pPr>
        <w:spacing w:before="0" w:beforeAutospacing="0" w:after="0" w:afterAutospacing="0"/>
        <w:ind w:left="360"/>
        <w:jc w:val="both"/>
        <w:rPr>
          <w:sz w:val="16"/>
          <w:highlight w:val="yellow"/>
        </w:rPr>
      </w:pPr>
      <w:r w:rsidRPr="00BF5CB0">
        <w:rPr>
          <w:sz w:val="16"/>
          <w:highlight w:val="yellow"/>
        </w:rPr>
        <w:t>Missions d’audit légal aup</w:t>
      </w:r>
      <w:r w:rsidRPr="00BF5CB0">
        <w:rPr>
          <w:sz w:val="16"/>
          <w:highlight w:val="yellow"/>
        </w:rPr>
        <w:t xml:space="preserve">rès de société d’économie mixte </w:t>
      </w:r>
      <w:r w:rsidRPr="00BF5CB0">
        <w:rPr>
          <w:sz w:val="16"/>
          <w:highlight w:val="yellow"/>
        </w:rPr>
        <w:t>(Sem HLM)</w:t>
      </w:r>
    </w:p>
    <w:p w:rsidR="00D8794E" w:rsidRDefault="00D8794E" w:rsidP="00D8794E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  <w:highlight w:val="yellow"/>
        </w:rPr>
        <w:t>Interventions principalement au niveau d’évaluation de systèmes de contrôle interne</w:t>
      </w:r>
    </w:p>
    <w:p w:rsidR="006E20D9" w:rsidRDefault="006E20D9" w:rsidP="00D8794E">
      <w:pPr>
        <w:spacing w:before="0" w:beforeAutospacing="0" w:after="0" w:afterAutospacing="0"/>
        <w:ind w:left="360"/>
        <w:jc w:val="both"/>
        <w:rPr>
          <w:sz w:val="16"/>
        </w:rPr>
      </w:pPr>
    </w:p>
    <w:p w:rsidR="006E20D9" w:rsidRDefault="006E20D9" w:rsidP="00D8794E">
      <w:pPr>
        <w:spacing w:before="0" w:beforeAutospacing="0" w:after="0" w:afterAutospacing="0"/>
        <w:ind w:left="360"/>
        <w:jc w:val="both"/>
        <w:rPr>
          <w:sz w:val="16"/>
        </w:rPr>
      </w:pPr>
    </w:p>
    <w:p w:rsidR="006E20D9" w:rsidRDefault="006E20D9" w:rsidP="00D8794E">
      <w:pPr>
        <w:spacing w:before="0" w:beforeAutospacing="0" w:after="0" w:afterAutospacing="0"/>
        <w:ind w:left="360"/>
        <w:jc w:val="both"/>
        <w:rPr>
          <w:sz w:val="16"/>
        </w:rPr>
      </w:pP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t>Mai 2019 │DIPLOME D’EXPERTISE COMPTABLE (DEC)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t>&gt; Mémoire :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t>L’impact des ventes aux enchères dématérialisées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proofErr w:type="gramStart"/>
      <w:r w:rsidRPr="00BF5CB0">
        <w:rPr>
          <w:sz w:val="16"/>
        </w:rPr>
        <w:t>dans</w:t>
      </w:r>
      <w:proofErr w:type="gramEnd"/>
      <w:r w:rsidRPr="00BF5CB0">
        <w:rPr>
          <w:sz w:val="16"/>
        </w:rPr>
        <w:t xml:space="preserve"> les Maisons de Ventes Volontaires (MVV) :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proofErr w:type="gramStart"/>
      <w:r w:rsidRPr="00BF5CB0">
        <w:rPr>
          <w:sz w:val="16"/>
        </w:rPr>
        <w:t>proposition</w:t>
      </w:r>
      <w:proofErr w:type="gramEnd"/>
      <w:r w:rsidRPr="00BF5CB0">
        <w:rPr>
          <w:sz w:val="16"/>
        </w:rPr>
        <w:t xml:space="preserve"> d’outils destinés au commissaire aux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proofErr w:type="gramStart"/>
      <w:r w:rsidRPr="00BF5CB0">
        <w:rPr>
          <w:sz w:val="16"/>
        </w:rPr>
        <w:t>comptes</w:t>
      </w:r>
      <w:proofErr w:type="gramEnd"/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t>2004 – 2006 │INSTITUT NATIONAL DES TECHNIQUES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t>ECONOMIQUES ET COMPTABLES – INTEC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t>&gt; Maîtrise de Sciences et Techniques Comptables et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t>Financières (M.S.T.C.F)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t>2000 – 2004 │UNIVERSITE PARIS I – SORBONNE</w:t>
      </w:r>
    </w:p>
    <w:p w:rsidR="00BF5CB0" w:rsidRPr="00BF5CB0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lastRenderedPageBreak/>
        <w:t>PANTHEON</w:t>
      </w:r>
    </w:p>
    <w:p w:rsidR="006E20D9" w:rsidRPr="00057B33" w:rsidRDefault="00BF5CB0" w:rsidP="00BF5CB0">
      <w:pPr>
        <w:spacing w:before="0" w:beforeAutospacing="0" w:after="0" w:afterAutospacing="0"/>
        <w:ind w:left="360"/>
        <w:jc w:val="both"/>
        <w:rPr>
          <w:sz w:val="16"/>
        </w:rPr>
      </w:pPr>
      <w:r w:rsidRPr="00BF5CB0">
        <w:rPr>
          <w:sz w:val="16"/>
        </w:rPr>
        <w:t>&gt; Maitrise d’économie et gestion d’Entreprises</w:t>
      </w:r>
      <w:bookmarkStart w:id="0" w:name="_GoBack"/>
      <w:bookmarkEnd w:id="0"/>
    </w:p>
    <w:p w:rsidR="00D8794E" w:rsidRDefault="00D8794E" w:rsidP="00D8794E">
      <w:pPr>
        <w:spacing w:before="0" w:beforeAutospacing="0" w:after="0" w:afterAutospacing="0"/>
        <w:jc w:val="both"/>
        <w:rPr>
          <w:b/>
          <w:bCs/>
          <w:iCs/>
          <w:color w:val="0070C0"/>
          <w:sz w:val="16"/>
        </w:rPr>
      </w:pPr>
    </w:p>
    <w:p w:rsidR="00D8794E" w:rsidRPr="00057B33" w:rsidRDefault="00D8794E" w:rsidP="00D8794E">
      <w:pPr>
        <w:numPr>
          <w:ilvl w:val="0"/>
          <w:numId w:val="2"/>
        </w:numPr>
        <w:jc w:val="both"/>
        <w:rPr>
          <w:b/>
          <w:bCs/>
          <w:sz w:val="16"/>
        </w:rPr>
      </w:pPr>
      <w:r w:rsidRPr="00057B33">
        <w:rPr>
          <w:b/>
          <w:bCs/>
          <w:sz w:val="16"/>
        </w:rPr>
        <w:t xml:space="preserve">   Expérience</w:t>
      </w:r>
    </w:p>
    <w:p w:rsidR="00D8794E" w:rsidRPr="00DE2546" w:rsidRDefault="00D8794E" w:rsidP="00D8794E">
      <w:pPr>
        <w:spacing w:after="0" w:afterAutospacing="0"/>
        <w:jc w:val="both"/>
        <w:rPr>
          <w:sz w:val="16"/>
        </w:rPr>
      </w:pPr>
      <w:r w:rsidRPr="00DE2546">
        <w:rPr>
          <w:sz w:val="16"/>
        </w:rPr>
        <w:t xml:space="preserve">Le suivi et la prise en charge du secteur associatif depuis </w:t>
      </w:r>
      <w:r>
        <w:rPr>
          <w:sz w:val="16"/>
        </w:rPr>
        <w:t xml:space="preserve">plus de </w:t>
      </w:r>
      <w:r w:rsidR="005C66F3">
        <w:rPr>
          <w:sz w:val="16"/>
        </w:rPr>
        <w:t>XXXXXXXXXXXX</w:t>
      </w:r>
      <w:r w:rsidRPr="00DE2546">
        <w:rPr>
          <w:sz w:val="16"/>
        </w:rPr>
        <w:t xml:space="preserve"> ans l’ont amené à se spécialiser sur les procédures comptables et les règlementations budgétaires pour des associations diverses afin d’assurer les missions :</w:t>
      </w:r>
    </w:p>
    <w:p w:rsidR="00D8794E" w:rsidRPr="00DE2546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DE2546">
        <w:rPr>
          <w:bCs/>
          <w:sz w:val="16"/>
        </w:rPr>
        <w:t>d’établissement des comptes des Ecoles privées</w:t>
      </w:r>
    </w:p>
    <w:p w:rsidR="00D8794E" w:rsidRPr="00DE2546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>
        <w:rPr>
          <w:bCs/>
          <w:sz w:val="16"/>
        </w:rPr>
        <w:t>d</w:t>
      </w:r>
      <w:r w:rsidRPr="00DE2546">
        <w:rPr>
          <w:bCs/>
          <w:sz w:val="16"/>
        </w:rPr>
        <w:t>e Commissariat aux Comptes des Ecoles privées</w:t>
      </w:r>
    </w:p>
    <w:p w:rsidR="00D8794E" w:rsidRPr="00DE2546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>
        <w:rPr>
          <w:bCs/>
          <w:sz w:val="16"/>
        </w:rPr>
        <w:t>d</w:t>
      </w:r>
      <w:r w:rsidRPr="00DE2546">
        <w:rPr>
          <w:bCs/>
          <w:sz w:val="16"/>
        </w:rPr>
        <w:t>’encadrement de services financiers d’associations sous financeurs multiples</w:t>
      </w:r>
    </w:p>
    <w:p w:rsidR="00D8794E" w:rsidRPr="00DE2546" w:rsidRDefault="00D8794E" w:rsidP="00D8794E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>
        <w:rPr>
          <w:bCs/>
          <w:sz w:val="16"/>
        </w:rPr>
        <w:t>d</w:t>
      </w:r>
      <w:r w:rsidRPr="00DE2546">
        <w:rPr>
          <w:bCs/>
          <w:sz w:val="16"/>
        </w:rPr>
        <w:t>e Prise en charge de la procédure budgétaire des associations sous tutelle</w:t>
      </w:r>
    </w:p>
    <w:p w:rsidR="00D8794E" w:rsidRPr="00DE2546" w:rsidRDefault="00D8794E" w:rsidP="00D8794E">
      <w:pPr>
        <w:spacing w:after="0" w:afterAutospacing="0"/>
        <w:rPr>
          <w:sz w:val="16"/>
        </w:rPr>
      </w:pPr>
      <w:r w:rsidRPr="00DE2546">
        <w:rPr>
          <w:sz w:val="16"/>
        </w:rPr>
        <w:t>Depuis 5 ans, il assure notamment des missions pour des entreprises de commerce de gros :</w:t>
      </w:r>
    </w:p>
    <w:p w:rsidR="00D8794E" w:rsidRPr="00DE2546" w:rsidRDefault="00D8794E" w:rsidP="00D8794E">
      <w:pPr>
        <w:pStyle w:val="Paragraphedeliste"/>
        <w:numPr>
          <w:ilvl w:val="0"/>
          <w:numId w:val="4"/>
        </w:numPr>
        <w:spacing w:before="0" w:beforeAutospacing="0"/>
        <w:rPr>
          <w:sz w:val="16"/>
        </w:rPr>
      </w:pPr>
      <w:r w:rsidRPr="00DE2546">
        <w:rPr>
          <w:sz w:val="16"/>
        </w:rPr>
        <w:t xml:space="preserve">supervision de la comptabilité, </w:t>
      </w:r>
    </w:p>
    <w:p w:rsidR="00D8794E" w:rsidRPr="00DE2546" w:rsidRDefault="00D8794E" w:rsidP="00D8794E">
      <w:pPr>
        <w:pStyle w:val="Paragraphedeliste"/>
        <w:numPr>
          <w:ilvl w:val="0"/>
          <w:numId w:val="4"/>
        </w:numPr>
        <w:rPr>
          <w:sz w:val="16"/>
        </w:rPr>
      </w:pPr>
      <w:proofErr w:type="spellStart"/>
      <w:r w:rsidRPr="00DE2546">
        <w:rPr>
          <w:sz w:val="16"/>
        </w:rPr>
        <w:t>reporting</w:t>
      </w:r>
      <w:proofErr w:type="spellEnd"/>
      <w:r w:rsidRPr="00DE2546">
        <w:rPr>
          <w:sz w:val="16"/>
        </w:rPr>
        <w:t xml:space="preserve"> périodiques de tableaux de bord,</w:t>
      </w:r>
    </w:p>
    <w:p w:rsidR="00D8794E" w:rsidRDefault="00D8794E" w:rsidP="00D8794E">
      <w:pPr>
        <w:pStyle w:val="Paragraphedeliste"/>
        <w:numPr>
          <w:ilvl w:val="0"/>
          <w:numId w:val="4"/>
        </w:numPr>
      </w:pPr>
      <w:r w:rsidRPr="00DE2546">
        <w:rPr>
          <w:sz w:val="16"/>
        </w:rPr>
        <w:t>analyse et suivi des marges</w:t>
      </w:r>
    </w:p>
    <w:p w:rsidR="002220BF" w:rsidRDefault="00BF5CB0"/>
    <w:p w:rsidR="0057523B" w:rsidRDefault="0057523B"/>
    <w:p w:rsidR="0057523B" w:rsidRDefault="0057523B"/>
    <w:p w:rsidR="0057523B" w:rsidRDefault="0057523B" w:rsidP="0057523B">
      <w:pPr>
        <w:jc w:val="right"/>
      </w:pPr>
      <w:r>
        <w:rPr>
          <w:noProof/>
        </w:rPr>
        <w:drawing>
          <wp:inline distT="0" distB="0" distL="0" distR="0" wp14:anchorId="5D853872" wp14:editId="5AD366B9">
            <wp:extent cx="2151546" cy="1077595"/>
            <wp:effectExtent l="0" t="0" r="0" b="0"/>
            <wp:docPr id="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3070" cy="108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23B" w:rsidRDefault="0057523B"/>
    <w:sectPr w:rsidR="00575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4pt;height:11.4pt" o:bullet="t">
        <v:imagedata r:id="rId1" o:title="mso210B"/>
      </v:shape>
    </w:pict>
  </w:numPicBullet>
  <w:numPicBullet w:numPicBulletId="1">
    <w:pict>
      <v:shape id="_x0000_i1063" type="#_x0000_t75" style="width:9pt;height:9pt" o:bullet="t">
        <v:imagedata r:id="rId2" o:title="art91B0"/>
      </v:shape>
    </w:pict>
  </w:numPicBullet>
  <w:abstractNum w:abstractNumId="0" w15:restartNumberingAfterBreak="0">
    <w:nsid w:val="10500F1F"/>
    <w:multiLevelType w:val="hybridMultilevel"/>
    <w:tmpl w:val="800EFF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F85C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C69C9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104E8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E44D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040A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10E9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AACD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3A73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A47A9"/>
    <w:multiLevelType w:val="hybridMultilevel"/>
    <w:tmpl w:val="D60C375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D24E2"/>
    <w:multiLevelType w:val="hybridMultilevel"/>
    <w:tmpl w:val="63F0669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4040D"/>
    <w:multiLevelType w:val="hybridMultilevel"/>
    <w:tmpl w:val="37E4B652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04E01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1CF58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F8203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5ACD9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C4AAF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98F5D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A8010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C986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C68675D"/>
    <w:multiLevelType w:val="hybridMultilevel"/>
    <w:tmpl w:val="4FC23CBC"/>
    <w:lvl w:ilvl="0" w:tplc="CF2AF4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13E0E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74CE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03D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9EE3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3E13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D88F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E69AA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AA72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94E"/>
    <w:rsid w:val="001A6BE3"/>
    <w:rsid w:val="005179E1"/>
    <w:rsid w:val="0057523B"/>
    <w:rsid w:val="005C4065"/>
    <w:rsid w:val="005C66F3"/>
    <w:rsid w:val="006E20D9"/>
    <w:rsid w:val="00A94951"/>
    <w:rsid w:val="00BF5CB0"/>
    <w:rsid w:val="00D8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94E4"/>
  <w15:docId w15:val="{56F1D344-29E6-4B97-BAF7-427AF394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9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D87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515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Natacha Boulanger</dc:creator>
  <cp:lastModifiedBy>Aurélie SCHNELL</cp:lastModifiedBy>
  <cp:revision>8</cp:revision>
  <dcterms:created xsi:type="dcterms:W3CDTF">2015-02-11T09:40:00Z</dcterms:created>
  <dcterms:modified xsi:type="dcterms:W3CDTF">2023-11-14T15:31:00Z</dcterms:modified>
</cp:coreProperties>
</file>